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E1" w:rsidRPr="00665BC0" w:rsidRDefault="00665BC0" w:rsidP="00665BC0">
      <w:pPr>
        <w:jc w:val="center"/>
        <w:rPr>
          <w:b/>
          <w:sz w:val="28"/>
          <w:szCs w:val="28"/>
        </w:rPr>
      </w:pPr>
      <w:r w:rsidRPr="00665BC0">
        <w:rPr>
          <w:b/>
          <w:sz w:val="28"/>
          <w:szCs w:val="28"/>
        </w:rPr>
        <w:t>Métier Masseur Kinésithérapeute</w:t>
      </w:r>
    </w:p>
    <w:p w:rsidR="00665BC0" w:rsidRDefault="00665BC0"/>
    <w:p w:rsidR="00665BC0" w:rsidRDefault="00665BC0"/>
    <w:p w:rsidR="00665BC0" w:rsidRDefault="00665BC0">
      <w:pPr>
        <w:rPr>
          <w:b/>
          <w:sz w:val="28"/>
          <w:szCs w:val="28"/>
        </w:rPr>
      </w:pPr>
    </w:p>
    <w:p w:rsidR="00665BC0" w:rsidRPr="00665BC0" w:rsidRDefault="00665BC0">
      <w:pPr>
        <w:rPr>
          <w:b/>
          <w:sz w:val="28"/>
          <w:szCs w:val="28"/>
        </w:rPr>
      </w:pPr>
      <w:r w:rsidRPr="00665BC0">
        <w:rPr>
          <w:b/>
          <w:sz w:val="28"/>
          <w:szCs w:val="28"/>
        </w:rPr>
        <w:t>Les nouvelles voies d’accès aux études de kiné</w:t>
      </w:r>
    </w:p>
    <w:p w:rsidR="00665BC0" w:rsidRDefault="00665BC0" w:rsidP="00665BC0">
      <w:pPr>
        <w:rPr>
          <w:rFonts w:ascii="Century Gothic" w:hAnsi="Century Gothic"/>
        </w:rPr>
      </w:pPr>
      <w:r>
        <w:rPr>
          <w:rFonts w:ascii="Century Gothic" w:hAnsi="Century Gothic"/>
        </w:rPr>
        <w:t>guide « </w:t>
      </w:r>
      <w:proofErr w:type="spellStart"/>
      <w:r>
        <w:rPr>
          <w:rFonts w:ascii="Century Gothic" w:hAnsi="Century Gothic"/>
        </w:rPr>
        <w:t>Parcoursup</w:t>
      </w:r>
      <w:proofErr w:type="spellEnd"/>
      <w:r>
        <w:rPr>
          <w:rFonts w:ascii="Century Gothic" w:hAnsi="Century Gothic"/>
        </w:rPr>
        <w:t xml:space="preserve"> » à destination des pros : </w:t>
      </w:r>
      <w:hyperlink r:id="rId4" w:history="1">
        <w:r>
          <w:rPr>
            <w:rStyle w:val="Lienhypertexte"/>
            <w:rFonts w:ascii="Century Gothic" w:hAnsi="Century Gothic"/>
          </w:rPr>
          <w:t>https://cache.media.eduscol.education.fr/file/Parcoursup_2020/51/9/Guide-pratique-Parcoursup-2020-accompagner-les-lyceens_1223519.pdf</w:t>
        </w:r>
      </w:hyperlink>
    </w:p>
    <w:p w:rsidR="00665BC0" w:rsidRDefault="00665BC0" w:rsidP="00665BC0">
      <w:pPr>
        <w:rPr>
          <w:rFonts w:ascii="Century Gothic" w:hAnsi="Century Gothic"/>
        </w:rPr>
      </w:pPr>
    </w:p>
    <w:p w:rsidR="00665BC0" w:rsidRDefault="00665BC0">
      <w:r>
        <w:rPr>
          <w:rFonts w:ascii="Century Gothic" w:hAnsi="Century Gothic"/>
        </w:rPr>
        <w:t>Dans la partie II, voir Fiche</w:t>
      </w:r>
      <w:r>
        <w:rPr>
          <w:rFonts w:ascii="Century Gothic" w:hAnsi="Century Gothic"/>
        </w:rPr>
        <w:t xml:space="preserve"> 8 </w:t>
      </w:r>
    </w:p>
    <w:p w:rsidR="00665BC0" w:rsidRDefault="00665BC0"/>
    <w:p w:rsidR="00665BC0" w:rsidRDefault="00665BC0"/>
    <w:p w:rsidR="00665BC0" w:rsidRDefault="00665BC0">
      <w:bookmarkStart w:id="0" w:name="_GoBack"/>
      <w:bookmarkEnd w:id="0"/>
    </w:p>
    <w:sectPr w:rsidR="0066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C0"/>
    <w:rsid w:val="00665BC0"/>
    <w:rsid w:val="0095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6E2E"/>
  <w15:chartTrackingRefBased/>
  <w15:docId w15:val="{6A368E2A-4DF7-4976-8B9C-81A0C08C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BC0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65B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che.media.eduscol.education.fr/file/Parcoursup_2020/51/9/Guide-pratique-Parcoursup-2020-accompagner-les-lyceens_1223519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PINON</dc:creator>
  <cp:keywords/>
  <dc:description/>
  <cp:lastModifiedBy>Lydie PINON</cp:lastModifiedBy>
  <cp:revision>1</cp:revision>
  <dcterms:created xsi:type="dcterms:W3CDTF">2020-03-02T15:05:00Z</dcterms:created>
  <dcterms:modified xsi:type="dcterms:W3CDTF">2020-03-02T15:10:00Z</dcterms:modified>
</cp:coreProperties>
</file>